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2703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bookmarkStart w:id="0" w:name="_GoBack"/>
      <w:bookmarkEnd w:id="0"/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In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April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2018,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Minister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Housing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and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Public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Works,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Minister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Digital Technology, and Minister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Sport established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Stadium Taskforce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review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pricing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and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practices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of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Stadiums Queensland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(SQ).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taskforce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was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established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in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response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challenges faced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by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stadium hirers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related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the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costs of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hiring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SQ</w:t>
      </w:r>
      <w:r w:rsidRPr="00CA2FD1">
        <w:rPr>
          <w:rFonts w:ascii="Arial" w:eastAsia="Calibri" w:hAnsi="Arial" w:cs="Arial"/>
          <w:color w:val="auto"/>
          <w:spacing w:val="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venues.</w:t>
      </w:r>
    </w:p>
    <w:p w14:paraId="17B5766F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Whilst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its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work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is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ongoing,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taskforce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has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delivered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its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initial findings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in an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interim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report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government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allow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an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appropriate timeframe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hirers and SQ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make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decisions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2018/19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sporting</w:t>
      </w:r>
      <w:r w:rsidRPr="00CA2FD1">
        <w:rPr>
          <w:rFonts w:ascii="Arial" w:eastAsia="Calibri" w:hAnsi="Arial" w:cs="Arial"/>
          <w:color w:val="auto"/>
          <w:spacing w:val="2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season.</w:t>
      </w:r>
    </w:p>
    <w:p w14:paraId="278D39B9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jc w:val="both"/>
        <w:rPr>
          <w:rFonts w:ascii="Arial" w:eastAsia="Calibri" w:hAnsi="Arial" w:cs="Arial"/>
          <w:color w:val="auto"/>
          <w:spacing w:val="-5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z w:val="22"/>
          <w:szCs w:val="22"/>
        </w:rPr>
        <w:t>An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important</w:t>
      </w:r>
      <w:r w:rsidRPr="00CA2FD1">
        <w:rPr>
          <w:rFonts w:ascii="Arial" w:eastAsia="Calibri" w:hAnsi="Arial" w:cs="Arial"/>
          <w:color w:val="auto"/>
          <w:spacing w:val="-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initial</w:t>
      </w:r>
      <w:r w:rsidRPr="00CA2FD1">
        <w:rPr>
          <w:rFonts w:ascii="Arial" w:eastAsia="Calibri" w:hAnsi="Arial" w:cs="Arial"/>
          <w:color w:val="auto"/>
          <w:spacing w:val="-1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finding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of</w:t>
      </w:r>
      <w:r w:rsidRPr="00CA2FD1">
        <w:rPr>
          <w:rFonts w:ascii="Arial" w:eastAsia="Calibri" w:hAnsi="Arial" w:cs="Arial"/>
          <w:color w:val="auto"/>
          <w:spacing w:val="-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-1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taskforce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was</w:t>
      </w:r>
      <w:r w:rsidRPr="00CA2FD1">
        <w:rPr>
          <w:rFonts w:ascii="Arial" w:eastAsia="Calibri" w:hAnsi="Arial" w:cs="Arial"/>
          <w:color w:val="auto"/>
          <w:spacing w:val="-1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that</w:t>
      </w:r>
      <w:r w:rsidRPr="00CA2FD1">
        <w:rPr>
          <w:rFonts w:ascii="Arial" w:eastAsia="Calibri" w:hAnsi="Arial" w:cs="Arial"/>
          <w:color w:val="auto"/>
          <w:spacing w:val="-1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Queensland’s</w:t>
      </w:r>
      <w:r w:rsidRPr="00CA2FD1">
        <w:rPr>
          <w:rFonts w:ascii="Arial" w:eastAsia="Calibri" w:hAnsi="Arial" w:cs="Arial"/>
          <w:color w:val="auto"/>
          <w:spacing w:val="-1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major</w:t>
      </w:r>
      <w:r w:rsidRPr="00CA2FD1">
        <w:rPr>
          <w:rFonts w:ascii="Arial" w:eastAsia="Calibri" w:hAnsi="Arial" w:cs="Arial"/>
          <w:color w:val="auto"/>
          <w:spacing w:val="-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sport</w:t>
      </w:r>
      <w:r w:rsidRPr="00CA2FD1">
        <w:rPr>
          <w:rFonts w:ascii="Arial" w:eastAsia="Calibri" w:hAnsi="Arial" w:cs="Arial"/>
          <w:color w:val="auto"/>
          <w:spacing w:val="-1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facility</w:t>
      </w:r>
      <w:r w:rsidRPr="00CA2FD1">
        <w:rPr>
          <w:rFonts w:ascii="Arial" w:eastAsia="Calibri" w:hAnsi="Arial" w:cs="Arial"/>
          <w:color w:val="auto"/>
          <w:spacing w:val="-1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portfolio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 is</w:t>
      </w:r>
      <w:r w:rsidRPr="00CA2FD1">
        <w:rPr>
          <w:rFonts w:ascii="Arial" w:eastAsia="Calibri" w:hAnsi="Arial" w:cs="Arial"/>
          <w:color w:val="auto"/>
          <w:spacing w:val="-1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unique</w:t>
      </w:r>
      <w:r w:rsidRPr="00CA2FD1">
        <w:rPr>
          <w:rFonts w:ascii="Arial" w:eastAsia="Calibri" w:hAnsi="Arial" w:cs="Arial"/>
          <w:color w:val="auto"/>
          <w:spacing w:val="-1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with</w:t>
      </w:r>
      <w:r w:rsidRPr="00CA2FD1">
        <w:rPr>
          <w:rFonts w:ascii="Arial" w:eastAsia="Calibri" w:hAnsi="Arial" w:cs="Arial"/>
          <w:color w:val="auto"/>
          <w:spacing w:val="-1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significant</w:t>
      </w:r>
      <w:r w:rsidRPr="00CA2FD1">
        <w:rPr>
          <w:rFonts w:ascii="Arial" w:eastAsia="Calibri" w:hAnsi="Arial" w:cs="Arial"/>
          <w:color w:val="auto"/>
          <w:spacing w:val="-15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major</w:t>
      </w:r>
      <w:r w:rsidRPr="00CA2FD1">
        <w:rPr>
          <w:rFonts w:ascii="Arial" w:eastAsia="Calibri" w:hAnsi="Arial" w:cs="Arial"/>
          <w:color w:val="auto"/>
          <w:spacing w:val="-13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sports</w:t>
      </w:r>
      <w:r w:rsidRPr="00CA2FD1">
        <w:rPr>
          <w:rFonts w:ascii="Arial" w:eastAsia="Calibri" w:hAnsi="Arial" w:cs="Arial"/>
          <w:color w:val="auto"/>
          <w:spacing w:val="-1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infrastructure</w:t>
      </w:r>
      <w:r w:rsidRPr="00CA2FD1">
        <w:rPr>
          <w:rFonts w:ascii="Arial" w:eastAsia="Calibri" w:hAnsi="Arial" w:cs="Arial"/>
          <w:color w:val="auto"/>
          <w:spacing w:val="-1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built</w:t>
      </w:r>
      <w:r w:rsidRPr="00CA2FD1">
        <w:rPr>
          <w:rFonts w:ascii="Arial" w:eastAsia="Calibri" w:hAnsi="Arial" w:cs="Arial"/>
          <w:color w:val="auto"/>
          <w:spacing w:val="-13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outside</w:t>
      </w:r>
      <w:r w:rsidRPr="00CA2FD1">
        <w:rPr>
          <w:rFonts w:ascii="Arial" w:eastAsia="Calibri" w:hAnsi="Arial" w:cs="Arial"/>
          <w:color w:val="auto"/>
          <w:spacing w:val="-1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of</w:t>
      </w:r>
      <w:r w:rsidRPr="00CA2FD1">
        <w:rPr>
          <w:rFonts w:ascii="Arial" w:eastAsia="Calibri" w:hAnsi="Arial" w:cs="Arial"/>
          <w:color w:val="auto"/>
          <w:spacing w:val="-13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-1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capital</w:t>
      </w:r>
      <w:r w:rsidRPr="00CA2FD1">
        <w:rPr>
          <w:rFonts w:ascii="Arial" w:eastAsia="Calibri" w:hAnsi="Arial" w:cs="Arial"/>
          <w:color w:val="auto"/>
          <w:spacing w:val="-1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city,</w:t>
      </w:r>
      <w:r w:rsidRPr="00CA2FD1">
        <w:rPr>
          <w:rFonts w:ascii="Arial" w:eastAsia="Calibri" w:hAnsi="Arial" w:cs="Arial"/>
          <w:color w:val="auto"/>
          <w:spacing w:val="-13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specifically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 on</w:t>
      </w:r>
      <w:r w:rsidRPr="00CA2FD1">
        <w:rPr>
          <w:rFonts w:ascii="Arial" w:eastAsia="Calibri" w:hAnsi="Arial" w:cs="Arial"/>
          <w:color w:val="auto"/>
          <w:spacing w:val="3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36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Gold</w:t>
      </w:r>
      <w:r w:rsidRPr="00CA2FD1">
        <w:rPr>
          <w:rFonts w:ascii="Arial" w:eastAsia="Calibri" w:hAnsi="Arial" w:cs="Arial"/>
          <w:color w:val="auto"/>
          <w:spacing w:val="36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Coast</w:t>
      </w:r>
      <w:r w:rsidRPr="00CA2FD1">
        <w:rPr>
          <w:rFonts w:ascii="Arial" w:eastAsia="Calibri" w:hAnsi="Arial" w:cs="Arial"/>
          <w:color w:val="auto"/>
          <w:spacing w:val="3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and</w:t>
      </w:r>
      <w:r w:rsidRPr="00CA2FD1">
        <w:rPr>
          <w:rFonts w:ascii="Arial" w:eastAsia="Calibri" w:hAnsi="Arial" w:cs="Arial"/>
          <w:color w:val="auto"/>
          <w:spacing w:val="36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Townsville.</w:t>
      </w:r>
      <w:r w:rsidRPr="00CA2FD1">
        <w:rPr>
          <w:rFonts w:ascii="Arial" w:eastAsia="Calibri" w:hAnsi="Arial" w:cs="Arial"/>
          <w:color w:val="auto"/>
          <w:spacing w:val="4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36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regional</w:t>
      </w:r>
      <w:r w:rsidRPr="00CA2FD1">
        <w:rPr>
          <w:rFonts w:ascii="Arial" w:eastAsia="Calibri" w:hAnsi="Arial" w:cs="Arial"/>
          <w:color w:val="auto"/>
          <w:spacing w:val="3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venues</w:t>
      </w:r>
      <w:r w:rsidRPr="00CA2FD1">
        <w:rPr>
          <w:rFonts w:ascii="Arial" w:eastAsia="Calibri" w:hAnsi="Arial" w:cs="Arial"/>
          <w:color w:val="auto"/>
          <w:spacing w:val="3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expose</w:t>
      </w:r>
      <w:r w:rsidRPr="00CA2FD1">
        <w:rPr>
          <w:rFonts w:ascii="Arial" w:eastAsia="Calibri" w:hAnsi="Arial" w:cs="Arial"/>
          <w:color w:val="auto"/>
          <w:spacing w:val="3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both</w:t>
      </w:r>
      <w:r w:rsidRPr="00CA2FD1">
        <w:rPr>
          <w:rFonts w:ascii="Arial" w:eastAsia="Calibri" w:hAnsi="Arial" w:cs="Arial"/>
          <w:color w:val="auto"/>
          <w:spacing w:val="3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SQ</w:t>
      </w:r>
      <w:r w:rsidRPr="00CA2FD1">
        <w:rPr>
          <w:rFonts w:ascii="Arial" w:eastAsia="Calibri" w:hAnsi="Arial" w:cs="Arial"/>
          <w:color w:val="auto"/>
          <w:spacing w:val="4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and</w:t>
      </w:r>
      <w:r w:rsidRPr="00CA2FD1">
        <w:rPr>
          <w:rFonts w:ascii="Arial" w:eastAsia="Calibri" w:hAnsi="Arial" w:cs="Arial"/>
          <w:color w:val="auto"/>
          <w:spacing w:val="3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hirers</w:t>
      </w:r>
      <w:r w:rsidRPr="00CA2FD1">
        <w:rPr>
          <w:rFonts w:ascii="Arial" w:eastAsia="Calibri" w:hAnsi="Arial" w:cs="Arial"/>
          <w:color w:val="auto"/>
          <w:spacing w:val="3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additional</w:t>
      </w:r>
      <w:r w:rsidRPr="00CA2FD1">
        <w:rPr>
          <w:rFonts w:ascii="Arial" w:eastAsia="Calibri" w:hAnsi="Arial" w:cs="Arial"/>
          <w:color w:val="auto"/>
          <w:spacing w:val="4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costs</w:t>
      </w:r>
      <w:r w:rsidRPr="00CA2FD1">
        <w:rPr>
          <w:rFonts w:ascii="Arial" w:eastAsia="Calibri" w:hAnsi="Arial" w:cs="Arial"/>
          <w:color w:val="auto"/>
          <w:spacing w:val="4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due</w:t>
      </w:r>
      <w:r w:rsidRPr="00CA2FD1">
        <w:rPr>
          <w:rFonts w:ascii="Arial" w:eastAsia="Calibri" w:hAnsi="Arial" w:cs="Arial"/>
          <w:color w:val="auto"/>
          <w:spacing w:val="4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to</w:t>
      </w:r>
      <w:r w:rsidRPr="00CA2FD1">
        <w:rPr>
          <w:rFonts w:ascii="Arial" w:eastAsia="Calibri" w:hAnsi="Arial" w:cs="Arial"/>
          <w:color w:val="auto"/>
          <w:spacing w:val="4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their</w:t>
      </w:r>
      <w:r w:rsidRPr="00CA2FD1">
        <w:rPr>
          <w:rFonts w:ascii="Arial" w:eastAsia="Calibri" w:hAnsi="Arial" w:cs="Arial"/>
          <w:color w:val="auto"/>
          <w:spacing w:val="4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physical</w:t>
      </w:r>
      <w:r w:rsidRPr="00CA2FD1">
        <w:rPr>
          <w:rFonts w:ascii="Arial" w:eastAsia="Calibri" w:hAnsi="Arial" w:cs="Arial"/>
          <w:color w:val="auto"/>
          <w:spacing w:val="43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locations.</w:t>
      </w:r>
      <w:r w:rsidRPr="00CA2FD1">
        <w:rPr>
          <w:rFonts w:ascii="Arial" w:eastAsia="Calibri" w:hAnsi="Arial" w:cs="Arial"/>
          <w:color w:val="auto"/>
          <w:spacing w:val="40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Therefore,</w:t>
      </w:r>
      <w:r w:rsidRPr="00CA2FD1">
        <w:rPr>
          <w:rFonts w:ascii="Arial" w:eastAsia="Calibri" w:hAnsi="Arial" w:cs="Arial"/>
          <w:color w:val="auto"/>
          <w:spacing w:val="4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4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interim</w:t>
      </w:r>
      <w:r w:rsidRPr="00CA2FD1">
        <w:rPr>
          <w:rFonts w:ascii="Arial" w:eastAsia="Calibri" w:hAnsi="Arial" w:cs="Arial"/>
          <w:color w:val="auto"/>
          <w:spacing w:val="4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report</w:t>
      </w:r>
      <w:r w:rsidRPr="00CA2FD1">
        <w:rPr>
          <w:rFonts w:ascii="Arial" w:eastAsia="Calibri" w:hAnsi="Arial" w:cs="Arial"/>
          <w:color w:val="auto"/>
          <w:spacing w:val="4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specifically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focuses</w:t>
      </w:r>
      <w:r w:rsidRPr="00CA2FD1">
        <w:rPr>
          <w:rFonts w:ascii="Arial" w:eastAsia="Calibri" w:hAnsi="Arial" w:cs="Arial"/>
          <w:color w:val="auto"/>
          <w:spacing w:val="5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on</w:t>
      </w:r>
      <w:r w:rsidRPr="00CA2FD1">
        <w:rPr>
          <w:rFonts w:ascii="Arial" w:eastAsia="Calibri" w:hAnsi="Arial" w:cs="Arial"/>
          <w:color w:val="auto"/>
          <w:spacing w:val="5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issues</w:t>
      </w:r>
      <w:r w:rsidRPr="00CA2FD1">
        <w:rPr>
          <w:rFonts w:ascii="Arial" w:eastAsia="Calibri" w:hAnsi="Arial" w:cs="Arial"/>
          <w:color w:val="auto"/>
          <w:spacing w:val="5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at</w:t>
      </w:r>
      <w:r w:rsidRPr="00CA2FD1">
        <w:rPr>
          <w:rFonts w:ascii="Arial" w:eastAsia="Calibri" w:hAnsi="Arial" w:cs="Arial"/>
          <w:color w:val="auto"/>
          <w:spacing w:val="5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Metricon</w:t>
      </w:r>
      <w:r w:rsidRPr="00CA2FD1">
        <w:rPr>
          <w:rFonts w:ascii="Arial" w:eastAsia="Calibri" w:hAnsi="Arial" w:cs="Arial"/>
          <w:color w:val="auto"/>
          <w:spacing w:val="5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Stadium,</w:t>
      </w:r>
      <w:r w:rsidRPr="00CA2FD1">
        <w:rPr>
          <w:rFonts w:ascii="Arial" w:eastAsia="Calibri" w:hAnsi="Arial" w:cs="Arial"/>
          <w:color w:val="auto"/>
          <w:spacing w:val="5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Cbus</w:t>
      </w:r>
      <w:r w:rsidRPr="00CA2FD1">
        <w:rPr>
          <w:rFonts w:ascii="Arial" w:eastAsia="Calibri" w:hAnsi="Arial" w:cs="Arial"/>
          <w:color w:val="auto"/>
          <w:spacing w:val="4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Super</w:t>
      </w:r>
      <w:r w:rsidRPr="00CA2FD1">
        <w:rPr>
          <w:rFonts w:ascii="Arial" w:eastAsia="Calibri" w:hAnsi="Arial" w:cs="Arial"/>
          <w:color w:val="auto"/>
          <w:spacing w:val="5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Stadium</w:t>
      </w:r>
      <w:r w:rsidRPr="00CA2FD1">
        <w:rPr>
          <w:rFonts w:ascii="Arial" w:eastAsia="Calibri" w:hAnsi="Arial" w:cs="Arial"/>
          <w:color w:val="auto"/>
          <w:spacing w:val="5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and</w:t>
      </w:r>
      <w:r w:rsidRPr="00CA2FD1">
        <w:rPr>
          <w:rFonts w:ascii="Arial" w:eastAsia="Calibri" w:hAnsi="Arial" w:cs="Arial"/>
          <w:color w:val="auto"/>
          <w:spacing w:val="4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5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new</w:t>
      </w:r>
      <w:r w:rsidRPr="00CA2FD1">
        <w:rPr>
          <w:rFonts w:ascii="Arial" w:eastAsia="Calibri" w:hAnsi="Arial" w:cs="Arial"/>
          <w:color w:val="auto"/>
          <w:spacing w:val="4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Townsville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Stadium.</w:t>
      </w:r>
      <w:r w:rsidRPr="00CA2FD1">
        <w:rPr>
          <w:rFonts w:ascii="Arial" w:eastAsia="Calibri" w:hAnsi="Arial" w:cs="Arial"/>
          <w:color w:val="auto"/>
          <w:spacing w:val="-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Initial</w:t>
      </w:r>
      <w:r w:rsidRPr="00CA2FD1">
        <w:rPr>
          <w:rFonts w:ascii="Arial" w:eastAsia="Calibri" w:hAnsi="Arial" w:cs="Arial"/>
          <w:color w:val="auto"/>
          <w:spacing w:val="-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recommendations</w:t>
      </w:r>
      <w:r w:rsidRPr="00CA2FD1">
        <w:rPr>
          <w:rFonts w:ascii="Arial" w:eastAsia="Calibri" w:hAnsi="Arial" w:cs="Arial"/>
          <w:color w:val="auto"/>
          <w:spacing w:val="-6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are</w:t>
      </w:r>
      <w:r w:rsidRPr="00CA2FD1">
        <w:rPr>
          <w:rFonts w:ascii="Arial" w:eastAsia="Calibri" w:hAnsi="Arial" w:cs="Arial"/>
          <w:color w:val="auto"/>
          <w:spacing w:val="-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also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made</w:t>
      </w:r>
      <w:r w:rsidRPr="00CA2FD1">
        <w:rPr>
          <w:rFonts w:ascii="Arial" w:eastAsia="Calibri" w:hAnsi="Arial" w:cs="Arial"/>
          <w:color w:val="auto"/>
          <w:spacing w:val="-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in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relation</w:t>
      </w:r>
      <w:r w:rsidRPr="00CA2FD1">
        <w:rPr>
          <w:rFonts w:ascii="Arial" w:eastAsia="Calibri" w:hAnsi="Arial" w:cs="Arial"/>
          <w:color w:val="auto"/>
          <w:spacing w:val="-9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to</w:t>
      </w:r>
      <w:r w:rsidRPr="00CA2FD1">
        <w:rPr>
          <w:rFonts w:ascii="Arial" w:eastAsia="Calibri" w:hAnsi="Arial" w:cs="Arial"/>
          <w:color w:val="auto"/>
          <w:spacing w:val="-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-8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5"/>
          <w:sz w:val="22"/>
          <w:szCs w:val="22"/>
        </w:rPr>
        <w:t>Gabba.</w:t>
      </w:r>
    </w:p>
    <w:p w14:paraId="6FEC26ED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recommendations seek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reduce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costs,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and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policy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and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operational impediments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for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staging sporting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and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other events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at 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state’s major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sports</w:t>
      </w:r>
      <w:r w:rsidRPr="00CA2FD1">
        <w:rPr>
          <w:rFonts w:ascii="Arial" w:eastAsia="Calibri" w:hAnsi="Arial" w:cs="Arial"/>
          <w:color w:val="auto"/>
          <w:spacing w:val="27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facilities.</w:t>
      </w:r>
    </w:p>
    <w:p w14:paraId="519E3F31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rPr>
          <w:rFonts w:ascii="Arial" w:eastAsia="Calibri" w:hAnsi="Arial" w:cs="Arial"/>
          <w:color w:val="auto"/>
          <w:spacing w:val="-5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>Cabinet approved</w:t>
      </w:r>
      <w:r w:rsidRPr="002B7EA6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release of 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interim report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of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>the</w:t>
      </w:r>
      <w:r w:rsidRPr="00CA2FD1">
        <w:rPr>
          <w:rFonts w:ascii="Arial" w:eastAsia="Calibri" w:hAnsi="Arial" w:cs="Arial"/>
          <w:color w:val="auto"/>
          <w:spacing w:val="-41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Stadium </w:t>
      </w:r>
      <w:r w:rsidRPr="00CA2FD1">
        <w:rPr>
          <w:rFonts w:ascii="Arial" w:eastAsia="Calibri" w:hAnsi="Arial" w:cs="Arial"/>
          <w:color w:val="auto"/>
          <w:spacing w:val="-5"/>
          <w:sz w:val="22"/>
          <w:szCs w:val="22"/>
        </w:rPr>
        <w:t>Taskforce.</w:t>
      </w:r>
    </w:p>
    <w:p w14:paraId="3EEB269F" w14:textId="77777777" w:rsidR="00CA2FD1" w:rsidRPr="00CA2FD1" w:rsidRDefault="00CA2FD1" w:rsidP="002B7EA6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6" w:right="-1" w:hanging="426"/>
        <w:jc w:val="both"/>
        <w:rPr>
          <w:rFonts w:ascii="Arial" w:eastAsia="Calibri" w:hAnsi="Arial" w:cs="Arial"/>
          <w:color w:val="auto"/>
          <w:spacing w:val="-4"/>
          <w:sz w:val="22"/>
          <w:szCs w:val="22"/>
        </w:rPr>
      </w:pPr>
      <w:r w:rsidRPr="00CA2FD1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>Cabinet approved</w:t>
      </w:r>
      <w:r w:rsidRPr="002B7EA6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Queensland Government response </w:t>
      </w:r>
      <w:r w:rsidRPr="00CA2FD1">
        <w:rPr>
          <w:rFonts w:ascii="Arial" w:eastAsia="Calibri" w:hAnsi="Arial" w:cs="Arial"/>
          <w:color w:val="auto"/>
          <w:sz w:val="22"/>
          <w:szCs w:val="22"/>
        </w:rPr>
        <w:t xml:space="preserve">to 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interim report, which </w:t>
      </w:r>
      <w:r w:rsidRPr="00CA2FD1">
        <w:rPr>
          <w:rFonts w:ascii="Arial" w:eastAsia="Calibri" w:hAnsi="Arial" w:cs="Arial"/>
          <w:color w:val="auto"/>
          <w:spacing w:val="-5"/>
          <w:sz w:val="22"/>
          <w:szCs w:val="22"/>
        </w:rPr>
        <w:t xml:space="preserve">provides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that 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Queensland Government supports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or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supports in-principle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>all of</w:t>
      </w:r>
      <w:r w:rsidRPr="00CA2FD1">
        <w:rPr>
          <w:rFonts w:ascii="Arial" w:eastAsia="Calibri" w:hAnsi="Arial" w:cs="Arial"/>
          <w:color w:val="auto"/>
          <w:spacing w:val="32"/>
          <w:sz w:val="22"/>
          <w:szCs w:val="22"/>
        </w:rPr>
        <w:t xml:space="preserve">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the recommendations </w:t>
      </w:r>
      <w:r w:rsidRPr="00CA2FD1">
        <w:rPr>
          <w:rFonts w:ascii="Arial" w:eastAsia="Calibri" w:hAnsi="Arial" w:cs="Arial"/>
          <w:color w:val="auto"/>
          <w:spacing w:val="-3"/>
          <w:sz w:val="22"/>
          <w:szCs w:val="22"/>
        </w:rPr>
        <w:t xml:space="preserve">of the </w:t>
      </w:r>
      <w:r w:rsidRPr="00CA2FD1">
        <w:rPr>
          <w:rFonts w:ascii="Arial" w:eastAsia="Calibri" w:hAnsi="Arial" w:cs="Arial"/>
          <w:color w:val="auto"/>
          <w:spacing w:val="-4"/>
          <w:sz w:val="22"/>
          <w:szCs w:val="22"/>
        </w:rPr>
        <w:t>taskforce.</w:t>
      </w:r>
    </w:p>
    <w:p w14:paraId="5E358A36" w14:textId="77777777" w:rsidR="00CA2FD1" w:rsidRPr="00CA2FD1" w:rsidRDefault="00CA2FD1" w:rsidP="00282DE1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60"/>
        <w:ind w:left="426" w:right="-1" w:hanging="426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 w:rsidRPr="00CA2FD1">
        <w:rPr>
          <w:rFonts w:ascii="Arial" w:eastAsia="Calibri" w:hAnsi="Arial" w:cs="Arial"/>
          <w:i/>
          <w:iCs/>
          <w:color w:val="auto"/>
          <w:sz w:val="22"/>
          <w:szCs w:val="22"/>
          <w:u w:val="single"/>
        </w:rPr>
        <w:t>Attachments</w:t>
      </w:r>
    </w:p>
    <w:p w14:paraId="47041B66" w14:textId="2E21AD7B" w:rsidR="00CA2FD1" w:rsidRPr="00B25C0E" w:rsidRDefault="002A64B7" w:rsidP="001B2AE9">
      <w:pPr>
        <w:numPr>
          <w:ilvl w:val="1"/>
          <w:numId w:val="13"/>
        </w:numPr>
        <w:tabs>
          <w:tab w:val="left" w:pos="426"/>
          <w:tab w:val="left" w:pos="872"/>
        </w:tabs>
        <w:kinsoku w:val="0"/>
        <w:overflowPunct w:val="0"/>
        <w:autoSpaceDE w:val="0"/>
        <w:autoSpaceDN w:val="0"/>
        <w:adjustRightInd w:val="0"/>
        <w:spacing w:before="120"/>
        <w:ind w:left="814"/>
        <w:rPr>
          <w:rFonts w:ascii="Arial" w:eastAsia="Calibri" w:hAnsi="Arial" w:cs="Arial"/>
          <w:iCs/>
          <w:color w:val="auto"/>
          <w:sz w:val="22"/>
          <w:szCs w:val="22"/>
        </w:rPr>
      </w:pPr>
      <w:hyperlink r:id="rId7" w:history="1">
        <w:r w:rsidR="00CA2FD1" w:rsidRPr="001B2AE9">
          <w:rPr>
            <w:rStyle w:val="Hyperlink"/>
            <w:rFonts w:ascii="Arial" w:eastAsia="Calibri" w:hAnsi="Arial" w:cs="Arial"/>
            <w:iCs/>
            <w:sz w:val="22"/>
            <w:szCs w:val="22"/>
          </w:rPr>
          <w:t>Stadium Taskforce Interim</w:t>
        </w:r>
        <w:r w:rsidR="00CA2FD1" w:rsidRPr="001B2AE9">
          <w:rPr>
            <w:rStyle w:val="Hyperlink"/>
            <w:rFonts w:ascii="Arial" w:eastAsia="Calibri" w:hAnsi="Arial" w:cs="Arial"/>
            <w:iCs/>
            <w:spacing w:val="2"/>
            <w:sz w:val="22"/>
            <w:szCs w:val="22"/>
          </w:rPr>
          <w:t xml:space="preserve"> </w:t>
        </w:r>
        <w:r w:rsidR="00CA2FD1" w:rsidRPr="001B2AE9">
          <w:rPr>
            <w:rStyle w:val="Hyperlink"/>
            <w:rFonts w:ascii="Arial" w:eastAsia="Calibri" w:hAnsi="Arial" w:cs="Arial"/>
            <w:iCs/>
            <w:sz w:val="22"/>
            <w:szCs w:val="22"/>
          </w:rPr>
          <w:t>Report</w:t>
        </w:r>
      </w:hyperlink>
    </w:p>
    <w:p w14:paraId="039BF379" w14:textId="77A6C3BD" w:rsidR="00FF1C62" w:rsidRPr="00003D4B" w:rsidRDefault="002A64B7" w:rsidP="001B2AE9">
      <w:pPr>
        <w:numPr>
          <w:ilvl w:val="1"/>
          <w:numId w:val="13"/>
        </w:numPr>
        <w:tabs>
          <w:tab w:val="left" w:pos="426"/>
          <w:tab w:val="left" w:pos="872"/>
        </w:tabs>
        <w:kinsoku w:val="0"/>
        <w:overflowPunct w:val="0"/>
        <w:autoSpaceDE w:val="0"/>
        <w:autoSpaceDN w:val="0"/>
        <w:adjustRightInd w:val="0"/>
        <w:spacing w:before="120"/>
        <w:ind w:left="814"/>
        <w:rPr>
          <w:rFonts w:ascii="Arial" w:eastAsia="Calibri" w:hAnsi="Arial" w:cs="Arial"/>
          <w:iCs/>
          <w:color w:val="auto"/>
          <w:sz w:val="22"/>
          <w:szCs w:val="22"/>
        </w:rPr>
      </w:pPr>
      <w:hyperlink r:id="rId8" w:history="1">
        <w:r w:rsidR="00CA2FD1" w:rsidRPr="001B2AE9">
          <w:rPr>
            <w:rStyle w:val="Hyperlink"/>
            <w:rFonts w:ascii="Arial" w:eastAsia="Calibri" w:hAnsi="Arial" w:cs="Arial"/>
            <w:iCs/>
            <w:sz w:val="22"/>
            <w:szCs w:val="22"/>
          </w:rPr>
          <w:t>Queensland Government Response to the Stadium Taskforce Interim</w:t>
        </w:r>
        <w:r w:rsidR="00CA2FD1" w:rsidRPr="001B2AE9">
          <w:rPr>
            <w:rStyle w:val="Hyperlink"/>
            <w:rFonts w:ascii="Arial" w:eastAsia="Calibri" w:hAnsi="Arial" w:cs="Arial"/>
            <w:iCs/>
            <w:spacing w:val="-7"/>
            <w:sz w:val="22"/>
            <w:szCs w:val="22"/>
          </w:rPr>
          <w:t xml:space="preserve"> </w:t>
        </w:r>
        <w:r w:rsidR="00CA2FD1" w:rsidRPr="001B2AE9">
          <w:rPr>
            <w:rStyle w:val="Hyperlink"/>
            <w:rFonts w:ascii="Arial" w:eastAsia="Calibri" w:hAnsi="Arial" w:cs="Arial"/>
            <w:iCs/>
            <w:sz w:val="22"/>
            <w:szCs w:val="22"/>
          </w:rPr>
          <w:t>Report</w:t>
        </w:r>
      </w:hyperlink>
    </w:p>
    <w:sectPr w:rsidR="00FF1C62" w:rsidRPr="00003D4B" w:rsidSect="00003D4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A4EA" w14:textId="77777777" w:rsidR="00392218" w:rsidRDefault="00392218" w:rsidP="00D6589B">
      <w:r>
        <w:separator/>
      </w:r>
    </w:p>
  </w:endnote>
  <w:endnote w:type="continuationSeparator" w:id="0">
    <w:p w14:paraId="0C28D2F0" w14:textId="77777777" w:rsidR="00392218" w:rsidRDefault="0039221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1519" w14:textId="77777777" w:rsidR="00392218" w:rsidRDefault="00392218" w:rsidP="00D6589B">
      <w:r>
        <w:separator/>
      </w:r>
    </w:p>
  </w:footnote>
  <w:footnote w:type="continuationSeparator" w:id="0">
    <w:p w14:paraId="0D201F7F" w14:textId="77777777" w:rsidR="00392218" w:rsidRDefault="0039221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2BE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CE85C2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923AA6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12500">
      <w:rPr>
        <w:rFonts w:ascii="Arial" w:hAnsi="Arial" w:cs="Arial"/>
        <w:b/>
        <w:color w:val="auto"/>
        <w:sz w:val="22"/>
        <w:szCs w:val="22"/>
        <w:lang w:eastAsia="en-US"/>
      </w:rPr>
      <w:t>Ju</w:t>
    </w:r>
    <w:r w:rsidR="00CA2FD1"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012500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FF1C62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484CABF3" w14:textId="77777777" w:rsidR="00CB1501" w:rsidRDefault="00CA2FD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Stadium Taskforce Interim Report</w:t>
    </w:r>
  </w:p>
  <w:p w14:paraId="406D5927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A4778">
      <w:rPr>
        <w:rFonts w:ascii="Arial" w:hAnsi="Arial" w:cs="Arial"/>
        <w:b/>
        <w:sz w:val="22"/>
        <w:szCs w:val="22"/>
        <w:u w:val="single"/>
      </w:rPr>
      <w:t xml:space="preserve"> for Housing and Public Works</w:t>
    </w:r>
    <w:r w:rsidR="00FF1C62">
      <w:rPr>
        <w:rFonts w:ascii="Arial" w:hAnsi="Arial" w:cs="Arial"/>
        <w:b/>
        <w:sz w:val="22"/>
        <w:szCs w:val="22"/>
        <w:u w:val="single"/>
      </w:rPr>
      <w:t>, Minister for Digital Technology and Minister for Sport</w:t>
    </w:r>
  </w:p>
  <w:p w14:paraId="3E01F8C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A1ACCBC4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1" w15:restartNumberingAfterBreak="0">
    <w:nsid w:val="0F46338A"/>
    <w:multiLevelType w:val="multilevel"/>
    <w:tmpl w:val="00000885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2" w15:restartNumberingAfterBreak="0">
    <w:nsid w:val="1A902DC8"/>
    <w:multiLevelType w:val="hybridMultilevel"/>
    <w:tmpl w:val="089ED666"/>
    <w:lvl w:ilvl="0" w:tplc="03F400B6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15E693F2">
      <w:start w:val="1"/>
      <w:numFmt w:val="lowerRoman"/>
      <w:lvlText w:val="%2.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sz w:val="24"/>
      </w:rPr>
    </w:lvl>
    <w:lvl w:ilvl="2" w:tplc="077A29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851AD490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47BC8"/>
    <w:multiLevelType w:val="hybridMultilevel"/>
    <w:tmpl w:val="D858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F158A"/>
    <w:multiLevelType w:val="multilevel"/>
    <w:tmpl w:val="F92CBC3E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6" w15:restartNumberingAfterBreak="0">
    <w:nsid w:val="4A5C7B04"/>
    <w:multiLevelType w:val="hybridMultilevel"/>
    <w:tmpl w:val="5E0EBD2E"/>
    <w:lvl w:ilvl="0" w:tplc="48EC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55424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1B086C58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93F24"/>
    <w:multiLevelType w:val="hybridMultilevel"/>
    <w:tmpl w:val="0DCEDDB4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03D4B"/>
    <w:rsid w:val="00012500"/>
    <w:rsid w:val="00080F8F"/>
    <w:rsid w:val="0010384C"/>
    <w:rsid w:val="00174117"/>
    <w:rsid w:val="001B2AE9"/>
    <w:rsid w:val="001F305E"/>
    <w:rsid w:val="00282DE1"/>
    <w:rsid w:val="002A64B7"/>
    <w:rsid w:val="002B7EA6"/>
    <w:rsid w:val="003466E5"/>
    <w:rsid w:val="00392218"/>
    <w:rsid w:val="003A3BDD"/>
    <w:rsid w:val="004A4778"/>
    <w:rsid w:val="00501C66"/>
    <w:rsid w:val="00550873"/>
    <w:rsid w:val="005A0E22"/>
    <w:rsid w:val="0067135C"/>
    <w:rsid w:val="00684617"/>
    <w:rsid w:val="007265D0"/>
    <w:rsid w:val="00732E22"/>
    <w:rsid w:val="00741C20"/>
    <w:rsid w:val="007A4E1D"/>
    <w:rsid w:val="007F44F4"/>
    <w:rsid w:val="007F6BD1"/>
    <w:rsid w:val="00904077"/>
    <w:rsid w:val="00937A4A"/>
    <w:rsid w:val="009F05F9"/>
    <w:rsid w:val="00AA4DE7"/>
    <w:rsid w:val="00B25C0E"/>
    <w:rsid w:val="00C17FCB"/>
    <w:rsid w:val="00C22388"/>
    <w:rsid w:val="00C30B0D"/>
    <w:rsid w:val="00C75E67"/>
    <w:rsid w:val="00CA2FD1"/>
    <w:rsid w:val="00CB1501"/>
    <w:rsid w:val="00CD0195"/>
    <w:rsid w:val="00CD7A50"/>
    <w:rsid w:val="00CF0D8A"/>
    <w:rsid w:val="00D6589B"/>
    <w:rsid w:val="00EA55EB"/>
    <w:rsid w:val="00F45B99"/>
    <w:rsid w:val="00F77CE0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D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1250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2FD1"/>
    <w:pPr>
      <w:autoSpaceDE w:val="0"/>
      <w:autoSpaceDN w:val="0"/>
      <w:adjustRightInd w:val="0"/>
      <w:ind w:hanging="360"/>
    </w:pPr>
    <w:rPr>
      <w:rFonts w:ascii="Arial" w:eastAsia="Calibri" w:hAnsi="Arial" w:cs="Arial"/>
      <w:color w:val="auto"/>
      <w:sz w:val="22"/>
      <w:szCs w:val="22"/>
    </w:rPr>
  </w:style>
  <w:style w:type="character" w:customStyle="1" w:styleId="BodyTextChar">
    <w:name w:val="Body Text Char"/>
    <w:link w:val="BodyText"/>
    <w:uiPriority w:val="1"/>
    <w:rsid w:val="00CA2FD1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2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4</TotalTime>
  <Pages>1</Pages>
  <Words>250</Words>
  <Characters>1411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Base>https://www.cabinet.qld.gov.au/documents/2018/Jul/Stadium/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2018-10-31T06:09:00Z</cp:lastPrinted>
  <dcterms:created xsi:type="dcterms:W3CDTF">2018-11-22T05:18:00Z</dcterms:created>
  <dcterms:modified xsi:type="dcterms:W3CDTF">2019-12-11T09:12:00Z</dcterms:modified>
  <cp:category>Sport,Infrastructure</cp:category>
</cp:coreProperties>
</file>